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4699" w14:textId="77777777" w:rsidR="00B66398" w:rsidRDefault="00B66398" w:rsidP="00545E27">
      <w:pPr>
        <w:spacing w:after="0"/>
        <w:rPr>
          <w:rStyle w:val="Strong"/>
          <w:rFonts w:ascii="Century Gothic" w:hAnsi="Century Gothic"/>
          <w:bCs w:val="0"/>
          <w:color w:val="1F3763"/>
          <w:sz w:val="44"/>
          <w:szCs w:val="44"/>
        </w:rPr>
      </w:pPr>
    </w:p>
    <w:p w14:paraId="702E6913" w14:textId="00AB4283" w:rsidR="00545E27" w:rsidRPr="00480F7D" w:rsidRDefault="00545E27" w:rsidP="00545E27">
      <w:pPr>
        <w:spacing w:after="0"/>
        <w:rPr>
          <w:rStyle w:val="Strong"/>
          <w:rFonts w:ascii="Century Gothic" w:hAnsi="Century Gothic"/>
          <w:bCs w:val="0"/>
          <w:color w:val="1F3763"/>
          <w:sz w:val="44"/>
          <w:szCs w:val="44"/>
        </w:rPr>
      </w:pPr>
      <w:r w:rsidRPr="00480F7D">
        <w:rPr>
          <w:rStyle w:val="Strong"/>
          <w:rFonts w:ascii="Century Gothic" w:hAnsi="Century Gothic"/>
          <w:bCs w:val="0"/>
          <w:color w:val="1F3763"/>
          <w:sz w:val="44"/>
          <w:szCs w:val="44"/>
        </w:rPr>
        <w:t>Cleaning and Maintenance Recommendations</w:t>
      </w:r>
    </w:p>
    <w:p w14:paraId="3988F3BB" w14:textId="77777777" w:rsidR="000D78A6" w:rsidRDefault="009942CA" w:rsidP="000D78A6">
      <w:pPr>
        <w:rPr>
          <w:rFonts w:ascii="Century Gothic" w:hAnsi="Century Gothic"/>
          <w:b/>
          <w:color w:val="002060"/>
          <w:sz w:val="36"/>
        </w:rPr>
      </w:pPr>
      <w:r w:rsidRPr="00CE473E">
        <w:rPr>
          <w:rFonts w:ascii="Century Gothic" w:hAnsi="Century Gothic"/>
          <w:b/>
          <w:color w:val="002060"/>
          <w:sz w:val="24"/>
          <w:szCs w:val="20"/>
        </w:rPr>
        <w:t>Ceramic Tiles and Mosaics</w:t>
      </w:r>
      <w:r w:rsidRPr="00CE473E">
        <w:rPr>
          <w:rFonts w:ascii="Century Gothic" w:hAnsi="Century Gothic"/>
          <w:b/>
          <w:color w:val="002060"/>
          <w:sz w:val="36"/>
        </w:rPr>
        <w:t xml:space="preserve"> </w:t>
      </w:r>
    </w:p>
    <w:p w14:paraId="377054EB" w14:textId="06745FB9" w:rsidR="00BC79F7" w:rsidRPr="00AD11CB" w:rsidRDefault="009942CA" w:rsidP="000D78A6">
      <w:pPr>
        <w:rPr>
          <w:rFonts w:ascii="Century Gothic" w:hAnsi="Century Gothic"/>
          <w:b/>
          <w:color w:val="002060"/>
          <w:sz w:val="36"/>
        </w:rPr>
      </w:pPr>
      <w:r w:rsidRPr="00B810A8">
        <w:rPr>
          <w:rFonts w:ascii="Century Gothic" w:hAnsi="Century Gothic"/>
          <w:b/>
          <w:color w:val="1F3763"/>
          <w:sz w:val="36"/>
        </w:rPr>
        <w:br/>
      </w:r>
      <w:r w:rsidRPr="00681090">
        <w:rPr>
          <w:rFonts w:ascii="Calibri" w:hAnsi="Calibri"/>
          <w:b/>
          <w:color w:val="404040" w:themeColor="text1" w:themeTint="BF"/>
          <w:sz w:val="28"/>
          <w:u w:val="single"/>
        </w:rPr>
        <w:t>Initial C</w:t>
      </w:r>
      <w:r w:rsidRPr="009111DB">
        <w:rPr>
          <w:rFonts w:ascii="Calibri" w:hAnsi="Calibri"/>
          <w:b/>
          <w:color w:val="404040"/>
          <w:sz w:val="28"/>
          <w:u w:val="single"/>
        </w:rPr>
        <w:t>leanin</w:t>
      </w:r>
      <w:r w:rsidRPr="00681090">
        <w:rPr>
          <w:rFonts w:ascii="Calibri" w:hAnsi="Calibri"/>
          <w:b/>
          <w:color w:val="404040" w:themeColor="text1" w:themeTint="BF"/>
          <w:sz w:val="28"/>
          <w:u w:val="single"/>
        </w:rPr>
        <w:t>g and Maintenance</w:t>
      </w:r>
    </w:p>
    <w:p w14:paraId="67CF592F" w14:textId="5C8A0F0D" w:rsidR="009942CA" w:rsidRPr="00213E1F" w:rsidRDefault="009942CA" w:rsidP="009942CA">
      <w:pPr>
        <w:rPr>
          <w:rFonts w:ascii="Century Gothic" w:hAnsi="Century Gothic"/>
        </w:rPr>
      </w:pPr>
      <w:r w:rsidRPr="00213E1F">
        <w:rPr>
          <w:rFonts w:ascii="Century Gothic" w:hAnsi="Century Gothic"/>
        </w:rPr>
        <w:t xml:space="preserve">The initial clean of the tiles surface is the most important step to ensure the ease of cleaning for future maintenance. It requires the complete removal of grout from the surface of the tiles before they cure or dry. The clean must commence immediately after installation and grout application. </w:t>
      </w:r>
    </w:p>
    <w:p w14:paraId="189D5783" w14:textId="77777777" w:rsidR="009942CA" w:rsidRPr="00213E1F" w:rsidRDefault="009942CA" w:rsidP="009942CA">
      <w:pPr>
        <w:rPr>
          <w:rFonts w:ascii="Century Gothic" w:hAnsi="Century Gothic"/>
        </w:rPr>
      </w:pPr>
      <w:r w:rsidRPr="00213E1F">
        <w:rPr>
          <w:rFonts w:ascii="Century Gothic" w:hAnsi="Century Gothic"/>
        </w:rPr>
        <w:t>Using a dry cloth or sponge, to remove the excess grout and residue from the surface of the tiles. Tiles can be cleaned successfully by sponging down the newly installed surface with hot water and a suitable neutral detergent cleaner. This must be directly followed by thoroughly rinsing and the removal of rinse water then dry with a cloth.</w:t>
      </w:r>
    </w:p>
    <w:p w14:paraId="67330498" w14:textId="0AB2030D" w:rsidR="009942CA" w:rsidRPr="00213E1F" w:rsidRDefault="009942CA" w:rsidP="009942CA">
      <w:pPr>
        <w:rPr>
          <w:rFonts w:ascii="Century Gothic" w:hAnsi="Century Gothic"/>
        </w:rPr>
      </w:pPr>
      <w:r w:rsidRPr="00213E1F">
        <w:rPr>
          <w:rFonts w:ascii="Century Gothic" w:hAnsi="Century Gothic"/>
        </w:rPr>
        <w:t xml:space="preserve">If grout residue </w:t>
      </w:r>
      <w:r w:rsidR="001543E2" w:rsidRPr="00213E1F">
        <w:rPr>
          <w:rFonts w:ascii="Century Gothic" w:hAnsi="Century Gothic"/>
        </w:rPr>
        <w:t>remains</w:t>
      </w:r>
      <w:r w:rsidRPr="00213E1F">
        <w:rPr>
          <w:rFonts w:ascii="Century Gothic" w:hAnsi="Century Gothic"/>
        </w:rPr>
        <w:t>, further grout cleaning should be carried out by following the grout manufacturer’s instructions. It is important to be certain that all traces of grout have been removed; failure to do so will cause grout to stain permanently or difficult to remove.</w:t>
      </w:r>
    </w:p>
    <w:p w14:paraId="2B442A6A" w14:textId="77777777" w:rsidR="009942CA" w:rsidRDefault="009942CA" w:rsidP="009942CA">
      <w:pPr>
        <w:rPr>
          <w:rFonts w:ascii="Century Gothic" w:hAnsi="Century Gothic"/>
        </w:rPr>
      </w:pPr>
      <w:r w:rsidRPr="00213E1F">
        <w:rPr>
          <w:rFonts w:ascii="Century Gothic" w:hAnsi="Century Gothic"/>
        </w:rPr>
        <w:t xml:space="preserve">Some grout manufacturers distribute products recommended for removal of grout from the surface of the tile. Prior to grouting any area, complete a grout test patch, this will determine possible contamination of the grout, pigmentation and/or the ease of excess grout removal. It is important to do so when using different colour tiles to grout, light coloured tiles or smooth surfaces such as polished, smooth or matt. </w:t>
      </w:r>
    </w:p>
    <w:p w14:paraId="093B22D1" w14:textId="77777777" w:rsidR="00681090" w:rsidRPr="00213E1F" w:rsidRDefault="00681090" w:rsidP="00681090">
      <w:pPr>
        <w:rPr>
          <w:rFonts w:ascii="Century Gothic" w:hAnsi="Century Gothic"/>
        </w:rPr>
      </w:pPr>
      <w:r w:rsidRPr="00213E1F">
        <w:rPr>
          <w:rFonts w:ascii="Century Gothic" w:hAnsi="Century Gothic"/>
          <w:b/>
          <w:color w:val="404040" w:themeColor="text1" w:themeTint="BF"/>
        </w:rPr>
        <w:t xml:space="preserve">For more intensive cleaning: </w:t>
      </w:r>
      <w:r w:rsidRPr="00213E1F">
        <w:rPr>
          <w:rFonts w:ascii="Century Gothic" w:hAnsi="Century Gothic"/>
          <w:color w:val="404040" w:themeColor="text1" w:themeTint="BF"/>
        </w:rPr>
        <w:t xml:space="preserve"> </w:t>
      </w:r>
      <w:r w:rsidRPr="00213E1F">
        <w:rPr>
          <w:rFonts w:ascii="Century Gothic" w:hAnsi="Century Gothic"/>
        </w:rPr>
        <w:t xml:space="preserve">Floor scrubbers or floor buffing machines equipped with a nylon pad or brush are recommended. A wet vacuum should be used to pick up suspended grout and completely remove residue and construction dirt. If cleaning is done by a machine, it is important to select the correct equipment (brush, disc or cylindrical type) for the </w:t>
      </w:r>
      <w:proofErr w:type="gramStart"/>
      <w:r w:rsidRPr="00213E1F">
        <w:rPr>
          <w:rFonts w:ascii="Century Gothic" w:hAnsi="Century Gothic"/>
        </w:rPr>
        <w:t>particular surface</w:t>
      </w:r>
      <w:proofErr w:type="gramEnd"/>
      <w:r w:rsidRPr="00213E1F">
        <w:rPr>
          <w:rFonts w:ascii="Century Gothic" w:hAnsi="Century Gothic"/>
        </w:rPr>
        <w:t xml:space="preserve"> finish, location of installation and frequency of cleaning. We recommend contacting the specific equipment supplier for advice. Acid washing is not recommended and is not usually necessary for cleaning a new installation if the cleaning is done in a timely manner. Once the initial cleaning has been thoroughly completed, a daily cleaning schedule can be followed for continuous maintenance. </w:t>
      </w:r>
    </w:p>
    <w:p w14:paraId="55ADD7C2" w14:textId="77777777" w:rsidR="00681090" w:rsidRPr="00213E1F" w:rsidRDefault="00681090" w:rsidP="009942CA">
      <w:pPr>
        <w:rPr>
          <w:rFonts w:ascii="Century Gothic" w:hAnsi="Century Gothic"/>
        </w:rPr>
      </w:pPr>
    </w:p>
    <w:p w14:paraId="3CB7A7C7" w14:textId="77777777" w:rsidR="00BC79F7" w:rsidRDefault="00BC79F7" w:rsidP="009942CA">
      <w:pPr>
        <w:rPr>
          <w:rFonts w:ascii="Century Gothic" w:hAnsi="Century Gothic"/>
          <w:b/>
          <w:color w:val="404040" w:themeColor="text1" w:themeTint="BF"/>
          <w:sz w:val="28"/>
          <w:u w:val="single"/>
        </w:rPr>
      </w:pPr>
    </w:p>
    <w:p w14:paraId="48B362A8" w14:textId="33CFE2B4" w:rsidR="00681090" w:rsidRDefault="00681090" w:rsidP="00AD11CB">
      <w:pPr>
        <w:tabs>
          <w:tab w:val="left" w:pos="4349"/>
        </w:tabs>
        <w:rPr>
          <w:rFonts w:ascii="Century Gothic" w:hAnsi="Century Gothic"/>
          <w:b/>
          <w:color w:val="404040" w:themeColor="text1" w:themeTint="BF"/>
          <w:sz w:val="28"/>
          <w:u w:val="single"/>
        </w:rPr>
      </w:pPr>
    </w:p>
    <w:p w14:paraId="4033CFC0" w14:textId="77777777" w:rsidR="00681090" w:rsidRDefault="00681090" w:rsidP="009942CA">
      <w:pPr>
        <w:rPr>
          <w:rFonts w:ascii="Century Gothic" w:hAnsi="Century Gothic"/>
          <w:b/>
          <w:color w:val="404040" w:themeColor="text1" w:themeTint="BF"/>
          <w:sz w:val="28"/>
          <w:u w:val="single"/>
        </w:rPr>
      </w:pPr>
    </w:p>
    <w:p w14:paraId="41C6EC3C" w14:textId="77777777" w:rsidR="00681090" w:rsidRDefault="00681090" w:rsidP="009942CA">
      <w:pPr>
        <w:rPr>
          <w:rFonts w:ascii="Century Gothic" w:hAnsi="Century Gothic"/>
          <w:b/>
          <w:color w:val="404040" w:themeColor="text1" w:themeTint="BF"/>
          <w:sz w:val="28"/>
          <w:u w:val="single"/>
        </w:rPr>
      </w:pPr>
    </w:p>
    <w:p w14:paraId="4244CA19" w14:textId="77777777" w:rsidR="00681090" w:rsidRDefault="00681090" w:rsidP="009942CA">
      <w:pPr>
        <w:rPr>
          <w:rFonts w:ascii="Century Gothic" w:hAnsi="Century Gothic"/>
          <w:b/>
          <w:color w:val="404040" w:themeColor="text1" w:themeTint="BF"/>
          <w:sz w:val="28"/>
          <w:u w:val="single"/>
        </w:rPr>
      </w:pPr>
    </w:p>
    <w:p w14:paraId="6E4DBD02" w14:textId="77777777" w:rsidR="00681090" w:rsidRDefault="00681090" w:rsidP="009942CA">
      <w:pPr>
        <w:rPr>
          <w:rFonts w:ascii="Century Gothic" w:hAnsi="Century Gothic"/>
          <w:b/>
          <w:color w:val="404040" w:themeColor="text1" w:themeTint="BF"/>
          <w:sz w:val="28"/>
          <w:u w:val="single"/>
        </w:rPr>
      </w:pPr>
    </w:p>
    <w:p w14:paraId="670E292D" w14:textId="77777777" w:rsidR="00681090" w:rsidRDefault="00681090" w:rsidP="009942CA">
      <w:pPr>
        <w:rPr>
          <w:rFonts w:ascii="Century Gothic" w:hAnsi="Century Gothic"/>
          <w:b/>
          <w:color w:val="404040" w:themeColor="text1" w:themeTint="BF"/>
          <w:sz w:val="28"/>
          <w:u w:val="single"/>
        </w:rPr>
      </w:pPr>
    </w:p>
    <w:p w14:paraId="5321DE33" w14:textId="77777777" w:rsidR="00681090" w:rsidRDefault="00681090" w:rsidP="009942CA">
      <w:pPr>
        <w:rPr>
          <w:rFonts w:ascii="Century Gothic" w:hAnsi="Century Gothic"/>
          <w:b/>
          <w:color w:val="404040" w:themeColor="text1" w:themeTint="BF"/>
          <w:sz w:val="28"/>
          <w:u w:val="single"/>
        </w:rPr>
      </w:pPr>
    </w:p>
    <w:p w14:paraId="3B4C1086" w14:textId="640CAAD7" w:rsidR="009942CA" w:rsidRPr="001543E2" w:rsidRDefault="009942CA" w:rsidP="009942CA">
      <w:pPr>
        <w:rPr>
          <w:rFonts w:ascii="Calibri" w:hAnsi="Calibri"/>
          <w:b/>
          <w:color w:val="404040" w:themeColor="text1" w:themeTint="BF"/>
          <w:sz w:val="28"/>
          <w:u w:val="single"/>
        </w:rPr>
      </w:pPr>
      <w:r w:rsidRPr="001543E2">
        <w:rPr>
          <w:rFonts w:ascii="Calibri" w:hAnsi="Calibri"/>
          <w:b/>
          <w:color w:val="404040" w:themeColor="text1" w:themeTint="BF"/>
          <w:sz w:val="28"/>
          <w:u w:val="single"/>
        </w:rPr>
        <w:t xml:space="preserve">Daily Maintenance </w:t>
      </w:r>
    </w:p>
    <w:p w14:paraId="7022C46F" w14:textId="77777777" w:rsidR="009942CA" w:rsidRPr="001543E2" w:rsidRDefault="009942CA" w:rsidP="009942CA">
      <w:pPr>
        <w:rPr>
          <w:rFonts w:ascii="Century Gothic" w:hAnsi="Century Gothic"/>
        </w:rPr>
      </w:pPr>
      <w:r w:rsidRPr="001543E2">
        <w:rPr>
          <w:rFonts w:ascii="Century Gothic" w:hAnsi="Century Gothic"/>
        </w:rPr>
        <w:t xml:space="preserve">General maintenance and cleaning of ceramic floor tiles and floor mosaics will vary depending on the surface texture and build-up of dirt/staining. General cleaning should be performed by sweeping or vacuuming to remove loose dirt or other surface contaminates then, mop with warm water and a mild detergent neutral pH cleaner. Depending on the build-up of dirt, a more intensive cleaning process may be required. This would include the use of dedicated Tile and Grout Cleaner followed by thoroughly rinsing the tile surface area. </w:t>
      </w:r>
    </w:p>
    <w:p w14:paraId="00D6DBC7" w14:textId="77777777" w:rsidR="009942CA" w:rsidRPr="001543E2" w:rsidRDefault="009942CA" w:rsidP="009942CA">
      <w:pPr>
        <w:rPr>
          <w:rFonts w:ascii="Century Gothic" w:hAnsi="Century Gothic"/>
        </w:rPr>
      </w:pPr>
      <w:r w:rsidRPr="001543E2">
        <w:rPr>
          <w:rFonts w:ascii="Century Gothic" w:hAnsi="Century Gothic"/>
        </w:rPr>
        <w:t>To successfully maintain porcelain tiles, some important steps need to be followed:</w:t>
      </w:r>
    </w:p>
    <w:p w14:paraId="4DBA01BD" w14:textId="77777777"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All spills must be cleaned as quickly as possible.</w:t>
      </w:r>
    </w:p>
    <w:p w14:paraId="73E17C16" w14:textId="77777777"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Use a neutral pH cleaner and follow the manufacturer’s instructions.</w:t>
      </w:r>
    </w:p>
    <w:p w14:paraId="2C6247C9" w14:textId="77777777"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Allow enough time for the detergent solution to act on the dirty area.</w:t>
      </w:r>
    </w:p>
    <w:p w14:paraId="5168C428" w14:textId="77777777"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Scrub with a nylon pad or bristle brush.</w:t>
      </w:r>
    </w:p>
    <w:p w14:paraId="3B3A2014" w14:textId="77777777"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Rinse thoroughly with clean water to remove all dirt and clean solution. It is very important that it is done thoroughly followed by using a wet vacuum or dry mop/cloth.</w:t>
      </w:r>
    </w:p>
    <w:p w14:paraId="3FED682C" w14:textId="2B1FF492" w:rsidR="009942CA" w:rsidRPr="001543E2" w:rsidRDefault="009942CA" w:rsidP="009942CA">
      <w:pPr>
        <w:pStyle w:val="ListParagraph"/>
        <w:numPr>
          <w:ilvl w:val="0"/>
          <w:numId w:val="7"/>
        </w:numPr>
        <w:rPr>
          <w:rFonts w:ascii="Century Gothic" w:hAnsi="Century Gothic"/>
          <w:sz w:val="22"/>
          <w:szCs w:val="22"/>
        </w:rPr>
      </w:pPr>
      <w:r w:rsidRPr="001543E2">
        <w:rPr>
          <w:rFonts w:ascii="Century Gothic" w:hAnsi="Century Gothic"/>
          <w:sz w:val="22"/>
          <w:szCs w:val="22"/>
        </w:rPr>
        <w:t xml:space="preserve">The use of a “Magic Sponge”, </w:t>
      </w:r>
      <w:r w:rsidR="00677325" w:rsidRPr="001543E2">
        <w:rPr>
          <w:rFonts w:ascii="Century Gothic" w:hAnsi="Century Gothic"/>
          <w:sz w:val="22"/>
          <w:szCs w:val="22"/>
        </w:rPr>
        <w:t>microfiber</w:t>
      </w:r>
      <w:r w:rsidRPr="001543E2">
        <w:rPr>
          <w:rFonts w:ascii="Century Gothic" w:hAnsi="Century Gothic"/>
          <w:sz w:val="22"/>
          <w:szCs w:val="22"/>
        </w:rPr>
        <w:t xml:space="preserve"> sponge can assist in removing stubborn spots.</w:t>
      </w:r>
    </w:p>
    <w:p w14:paraId="11C22FB6" w14:textId="2F5C8C90" w:rsidR="009942CA" w:rsidRPr="001543E2" w:rsidRDefault="009942CA" w:rsidP="009942CA">
      <w:pPr>
        <w:pStyle w:val="ListParagraph"/>
        <w:numPr>
          <w:ilvl w:val="0"/>
          <w:numId w:val="0"/>
        </w:numPr>
        <w:ind w:left="720"/>
        <w:rPr>
          <w:rFonts w:ascii="Century Gothic" w:hAnsi="Century Gothic"/>
          <w:sz w:val="22"/>
          <w:szCs w:val="22"/>
        </w:rPr>
      </w:pPr>
      <w:r w:rsidRPr="001543E2">
        <w:rPr>
          <w:rFonts w:ascii="Century Gothic" w:hAnsi="Century Gothic"/>
          <w:sz w:val="22"/>
          <w:szCs w:val="22"/>
        </w:rPr>
        <w:t xml:space="preserve">Please note that not all tile finishes require the same cleaning method and for the best results, using different techniques and cleaning solutions is recommended. Final cleaning techniques should be personalized to </w:t>
      </w:r>
      <w:r w:rsidR="001543E2" w:rsidRPr="001543E2">
        <w:rPr>
          <w:rFonts w:ascii="Century Gothic" w:hAnsi="Century Gothic"/>
          <w:sz w:val="22"/>
          <w:szCs w:val="22"/>
        </w:rPr>
        <w:t>suit</w:t>
      </w:r>
      <w:r w:rsidRPr="001543E2">
        <w:rPr>
          <w:rFonts w:ascii="Century Gothic" w:hAnsi="Century Gothic"/>
          <w:sz w:val="22"/>
          <w:szCs w:val="22"/>
        </w:rPr>
        <w:t xml:space="preserve"> the specific installation requirements.</w:t>
      </w:r>
    </w:p>
    <w:p w14:paraId="24AB594C" w14:textId="77732E7C" w:rsidR="00E04324" w:rsidRDefault="00E04324" w:rsidP="0075109E">
      <w:pPr>
        <w:rPr>
          <w:rStyle w:val="Strong"/>
          <w:rFonts w:ascii="Century Gothic" w:hAnsi="Century Gothic"/>
        </w:rPr>
      </w:pPr>
    </w:p>
    <w:sectPr w:rsidR="00E04324" w:rsidSect="005520F5">
      <w:headerReference w:type="default" r:id="rId9"/>
      <w:footerReference w:type="default" r:id="rId10"/>
      <w:pgSz w:w="11906" w:h="16838"/>
      <w:pgMar w:top="720"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6F4AD" w14:textId="77777777" w:rsidR="00603C36" w:rsidRDefault="00603C36" w:rsidP="00126928">
      <w:pPr>
        <w:spacing w:after="0" w:line="240" w:lineRule="auto"/>
      </w:pPr>
      <w:r>
        <w:separator/>
      </w:r>
    </w:p>
  </w:endnote>
  <w:endnote w:type="continuationSeparator" w:id="0">
    <w:p w14:paraId="22477878" w14:textId="77777777" w:rsidR="00603C36" w:rsidRDefault="00603C36" w:rsidP="00126928">
      <w:pPr>
        <w:spacing w:after="0" w:line="240" w:lineRule="auto"/>
      </w:pPr>
      <w:r>
        <w:continuationSeparator/>
      </w:r>
    </w:p>
  </w:endnote>
  <w:endnote w:type="continuationNotice" w:id="1">
    <w:p w14:paraId="3C5C8740" w14:textId="77777777" w:rsidR="00603C36" w:rsidRDefault="0060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ED7E" w14:textId="4360EC8F" w:rsidR="000878FA" w:rsidRPr="000878FA" w:rsidRDefault="000878FA">
    <w:pPr>
      <w:pStyle w:val="Footer"/>
      <w:rPr>
        <w:rFonts w:ascii="Century Gothic" w:hAnsi="Century Gothic"/>
      </w:rPr>
    </w:pPr>
    <w:r w:rsidRPr="000878FA">
      <w:rPr>
        <w:rFonts w:ascii="Century Gothic" w:hAnsi="Century Gothic"/>
        <w:color w:val="1B2429"/>
        <w:sz w:val="21"/>
        <w:szCs w:val="21"/>
        <w:shd w:val="clear" w:color="auto" w:fill="FFFFFF"/>
      </w:rPr>
      <w:t>Tile Factory Outlet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FF09" w14:textId="77777777" w:rsidR="00603C36" w:rsidRDefault="00603C36" w:rsidP="00126928">
      <w:pPr>
        <w:spacing w:after="0" w:line="240" w:lineRule="auto"/>
      </w:pPr>
      <w:r>
        <w:separator/>
      </w:r>
    </w:p>
  </w:footnote>
  <w:footnote w:type="continuationSeparator" w:id="0">
    <w:p w14:paraId="63B138FE" w14:textId="77777777" w:rsidR="00603C36" w:rsidRDefault="00603C36" w:rsidP="00126928">
      <w:pPr>
        <w:spacing w:after="0" w:line="240" w:lineRule="auto"/>
      </w:pPr>
      <w:r>
        <w:continuationSeparator/>
      </w:r>
    </w:p>
  </w:footnote>
  <w:footnote w:type="continuationNotice" w:id="1">
    <w:p w14:paraId="710835D9" w14:textId="77777777" w:rsidR="00603C36" w:rsidRDefault="00603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8C20" w14:textId="07F39BBA" w:rsidR="002532A9" w:rsidRPr="002532A9" w:rsidRDefault="002532A9" w:rsidP="002532A9">
    <w:pPr>
      <w:pStyle w:val="Header"/>
      <w:tabs>
        <w:tab w:val="left" w:pos="6735"/>
      </w:tabs>
    </w:pPr>
    <w:r w:rsidRPr="002532A9">
      <w:rPr>
        <w:noProof/>
      </w:rPr>
      <w:drawing>
        <wp:anchor distT="0" distB="0" distL="114300" distR="114300" simplePos="0" relativeHeight="251659264" behindDoc="0" locked="0" layoutInCell="1" allowOverlap="1" wp14:anchorId="44AE27E6" wp14:editId="7B045DC4">
          <wp:simplePos x="0" y="0"/>
          <wp:positionH relativeFrom="column">
            <wp:posOffset>4724400</wp:posOffset>
          </wp:positionH>
          <wp:positionV relativeFrom="paragraph">
            <wp:posOffset>-383540</wp:posOffset>
          </wp:positionV>
          <wp:extent cx="1979335" cy="574252"/>
          <wp:effectExtent l="0" t="0" r="1905" b="0"/>
          <wp:wrapNone/>
          <wp:docPr id="107815341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3410"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335" cy="574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37C21" w14:textId="4BB4B908" w:rsidR="00126928" w:rsidRDefault="00344B6C" w:rsidP="00126928">
    <w:pPr>
      <w:pStyle w:val="Header"/>
      <w:tabs>
        <w:tab w:val="clear" w:pos="4513"/>
        <w:tab w:val="clear" w:pos="9026"/>
        <w:tab w:val="left" w:pos="6735"/>
      </w:tabs>
    </w:pPr>
    <w:r>
      <w:rPr>
        <w:rFonts w:ascii="Century Gothic" w:hAnsi="Century Gothic"/>
        <w:noProof/>
      </w:rPr>
      <w:drawing>
        <wp:anchor distT="0" distB="0" distL="114300" distR="114300" simplePos="0" relativeHeight="251658240" behindDoc="0" locked="0" layoutInCell="1" allowOverlap="1" wp14:anchorId="4457E36E" wp14:editId="36C3F031">
          <wp:simplePos x="0" y="0"/>
          <wp:positionH relativeFrom="column">
            <wp:posOffset>-28575</wp:posOffset>
          </wp:positionH>
          <wp:positionV relativeFrom="paragraph">
            <wp:posOffset>-552450</wp:posOffset>
          </wp:positionV>
          <wp:extent cx="1069315" cy="666750"/>
          <wp:effectExtent l="0" t="0" r="0" b="0"/>
          <wp:wrapNone/>
          <wp:docPr id="178489267"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9267" name="Picture 1" descr="A colorful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b="19331"/>
                  <a:stretch/>
                </pic:blipFill>
                <pic:spPr bwMode="auto">
                  <a:xfrm>
                    <a:off x="0" y="0"/>
                    <a:ext cx="106931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49C5FD8"/>
    <w:lvl w:ilvl="0">
      <w:start w:val="1"/>
      <w:numFmt w:val="upperRoman"/>
      <w:pStyle w:val="ListParagraph"/>
      <w:lvlText w:val="%1."/>
      <w:lvlJc w:val="right"/>
      <w:pPr>
        <w:tabs>
          <w:tab w:val="num" w:pos="180"/>
        </w:tabs>
        <w:ind w:left="180" w:hanging="180"/>
      </w:pPr>
    </w:lvl>
  </w:abstractNum>
  <w:abstractNum w:abstractNumId="1" w15:restartNumberingAfterBreak="0">
    <w:nsid w:val="12341627"/>
    <w:multiLevelType w:val="multilevel"/>
    <w:tmpl w:val="F7004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A5794"/>
    <w:multiLevelType w:val="multilevel"/>
    <w:tmpl w:val="07EE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21F10"/>
    <w:multiLevelType w:val="hybridMultilevel"/>
    <w:tmpl w:val="56FC7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80756"/>
    <w:multiLevelType w:val="multilevel"/>
    <w:tmpl w:val="60E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67417"/>
    <w:multiLevelType w:val="multilevel"/>
    <w:tmpl w:val="BF4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22B20"/>
    <w:multiLevelType w:val="hybridMultilevel"/>
    <w:tmpl w:val="981CF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506201">
    <w:abstractNumId w:val="5"/>
  </w:num>
  <w:num w:numId="2" w16cid:durableId="1847287030">
    <w:abstractNumId w:val="1"/>
  </w:num>
  <w:num w:numId="3" w16cid:durableId="1231503978">
    <w:abstractNumId w:val="4"/>
  </w:num>
  <w:num w:numId="4" w16cid:durableId="212236601">
    <w:abstractNumId w:val="2"/>
  </w:num>
  <w:num w:numId="5" w16cid:durableId="1489202145">
    <w:abstractNumId w:val="0"/>
  </w:num>
  <w:num w:numId="6" w16cid:durableId="578095477">
    <w:abstractNumId w:val="3"/>
  </w:num>
  <w:num w:numId="7" w16cid:durableId="1993438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28"/>
    <w:rsid w:val="0001122A"/>
    <w:rsid w:val="00031A11"/>
    <w:rsid w:val="0008022C"/>
    <w:rsid w:val="000878FA"/>
    <w:rsid w:val="000D3B3E"/>
    <w:rsid w:val="000D78A6"/>
    <w:rsid w:val="000E0CC1"/>
    <w:rsid w:val="000F371E"/>
    <w:rsid w:val="00126928"/>
    <w:rsid w:val="001543E2"/>
    <w:rsid w:val="00182770"/>
    <w:rsid w:val="00194A6C"/>
    <w:rsid w:val="001D747B"/>
    <w:rsid w:val="00213E1F"/>
    <w:rsid w:val="00236109"/>
    <w:rsid w:val="002436A7"/>
    <w:rsid w:val="00247EDE"/>
    <w:rsid w:val="002532A9"/>
    <w:rsid w:val="00260FF5"/>
    <w:rsid w:val="00262C00"/>
    <w:rsid w:val="00274E51"/>
    <w:rsid w:val="002A22F5"/>
    <w:rsid w:val="002C60C1"/>
    <w:rsid w:val="00315F93"/>
    <w:rsid w:val="00332D6F"/>
    <w:rsid w:val="0034030D"/>
    <w:rsid w:val="00344B6C"/>
    <w:rsid w:val="0039301D"/>
    <w:rsid w:val="003F2785"/>
    <w:rsid w:val="00405B46"/>
    <w:rsid w:val="00444A7F"/>
    <w:rsid w:val="004727E4"/>
    <w:rsid w:val="00474118"/>
    <w:rsid w:val="004E6015"/>
    <w:rsid w:val="0050713C"/>
    <w:rsid w:val="00510D72"/>
    <w:rsid w:val="00535ECC"/>
    <w:rsid w:val="00545E27"/>
    <w:rsid w:val="005520F5"/>
    <w:rsid w:val="00566834"/>
    <w:rsid w:val="005F1310"/>
    <w:rsid w:val="00603C36"/>
    <w:rsid w:val="006335F2"/>
    <w:rsid w:val="00637F42"/>
    <w:rsid w:val="00666914"/>
    <w:rsid w:val="006705BA"/>
    <w:rsid w:val="00677325"/>
    <w:rsid w:val="00681090"/>
    <w:rsid w:val="006E68DE"/>
    <w:rsid w:val="006F482C"/>
    <w:rsid w:val="00736500"/>
    <w:rsid w:val="0075109E"/>
    <w:rsid w:val="007B4740"/>
    <w:rsid w:val="00856A66"/>
    <w:rsid w:val="008A1089"/>
    <w:rsid w:val="008B1EBA"/>
    <w:rsid w:val="008B7038"/>
    <w:rsid w:val="008C18AB"/>
    <w:rsid w:val="008C31B0"/>
    <w:rsid w:val="00911003"/>
    <w:rsid w:val="009111DB"/>
    <w:rsid w:val="009942CA"/>
    <w:rsid w:val="009E0D2F"/>
    <w:rsid w:val="009F4DFA"/>
    <w:rsid w:val="009F7F8C"/>
    <w:rsid w:val="00AD11CB"/>
    <w:rsid w:val="00AE3085"/>
    <w:rsid w:val="00B04077"/>
    <w:rsid w:val="00B05D22"/>
    <w:rsid w:val="00B206B4"/>
    <w:rsid w:val="00B543D4"/>
    <w:rsid w:val="00B66398"/>
    <w:rsid w:val="00B7311D"/>
    <w:rsid w:val="00B810A8"/>
    <w:rsid w:val="00B90618"/>
    <w:rsid w:val="00BB3428"/>
    <w:rsid w:val="00BC2C70"/>
    <w:rsid w:val="00BC79F7"/>
    <w:rsid w:val="00BF1952"/>
    <w:rsid w:val="00C07FFC"/>
    <w:rsid w:val="00C10927"/>
    <w:rsid w:val="00C24EC9"/>
    <w:rsid w:val="00C26679"/>
    <w:rsid w:val="00C320F3"/>
    <w:rsid w:val="00C71DD1"/>
    <w:rsid w:val="00CE473E"/>
    <w:rsid w:val="00D2260F"/>
    <w:rsid w:val="00D463DC"/>
    <w:rsid w:val="00DE302B"/>
    <w:rsid w:val="00DF0723"/>
    <w:rsid w:val="00E01FFD"/>
    <w:rsid w:val="00E04324"/>
    <w:rsid w:val="00E5238F"/>
    <w:rsid w:val="00E673A3"/>
    <w:rsid w:val="00ED3BE5"/>
    <w:rsid w:val="00ED45FE"/>
    <w:rsid w:val="00ED5DA9"/>
    <w:rsid w:val="00EE48C9"/>
    <w:rsid w:val="00F06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9A9F"/>
  <w15:chartTrackingRefBased/>
  <w15:docId w15:val="{6A20F097-450D-4182-9427-92756C78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28"/>
  </w:style>
  <w:style w:type="paragraph" w:styleId="Footer">
    <w:name w:val="footer"/>
    <w:basedOn w:val="Normal"/>
    <w:link w:val="FooterChar"/>
    <w:uiPriority w:val="99"/>
    <w:unhideWhenUsed/>
    <w:rsid w:val="00126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28"/>
  </w:style>
  <w:style w:type="character" w:styleId="Hyperlink">
    <w:name w:val="Hyperlink"/>
    <w:basedOn w:val="DefaultParagraphFont"/>
    <w:uiPriority w:val="99"/>
    <w:unhideWhenUsed/>
    <w:rsid w:val="008B7038"/>
    <w:rPr>
      <w:color w:val="0563C1" w:themeColor="hyperlink"/>
      <w:u w:val="single"/>
    </w:rPr>
  </w:style>
  <w:style w:type="character" w:styleId="UnresolvedMention">
    <w:name w:val="Unresolved Mention"/>
    <w:basedOn w:val="DefaultParagraphFont"/>
    <w:uiPriority w:val="99"/>
    <w:semiHidden/>
    <w:unhideWhenUsed/>
    <w:rsid w:val="008B7038"/>
    <w:rPr>
      <w:color w:val="605E5C"/>
      <w:shd w:val="clear" w:color="auto" w:fill="E1DFDD"/>
    </w:rPr>
  </w:style>
  <w:style w:type="character" w:customStyle="1" w:styleId="Heading1Char">
    <w:name w:val="Heading 1 Char"/>
    <w:basedOn w:val="DefaultParagraphFont"/>
    <w:link w:val="Heading1"/>
    <w:uiPriority w:val="9"/>
    <w:rsid w:val="00E04324"/>
    <w:rPr>
      <w:rFonts w:asciiTheme="majorHAnsi" w:eastAsiaTheme="majorEastAsia" w:hAnsiTheme="majorHAnsi" w:cstheme="majorBidi"/>
      <w:color w:val="2F5496" w:themeColor="accent1" w:themeShade="BF"/>
      <w:kern w:val="2"/>
      <w:sz w:val="40"/>
      <w:szCs w:val="40"/>
      <w14:ligatures w14:val="standardContextual"/>
    </w:rPr>
  </w:style>
  <w:style w:type="character" w:styleId="Strong">
    <w:name w:val="Strong"/>
    <w:basedOn w:val="DefaultParagraphFont"/>
    <w:uiPriority w:val="22"/>
    <w:qFormat/>
    <w:rsid w:val="00E04324"/>
    <w:rPr>
      <w:b/>
      <w:bCs/>
    </w:rPr>
  </w:style>
  <w:style w:type="paragraph" w:styleId="ListParagraph">
    <w:name w:val="List Paragraph"/>
    <w:basedOn w:val="Normal"/>
    <w:uiPriority w:val="34"/>
    <w:qFormat/>
    <w:rsid w:val="0039301D"/>
    <w:pPr>
      <w:numPr>
        <w:numId w:val="5"/>
      </w:numPr>
      <w:spacing w:before="240" w:after="200" w:line="276" w:lineRule="auto"/>
      <w:ind w:left="187" w:hanging="187"/>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7578">
      <w:bodyDiv w:val="1"/>
      <w:marLeft w:val="0"/>
      <w:marRight w:val="0"/>
      <w:marTop w:val="0"/>
      <w:marBottom w:val="0"/>
      <w:divBdr>
        <w:top w:val="none" w:sz="0" w:space="0" w:color="auto"/>
        <w:left w:val="none" w:sz="0" w:space="0" w:color="auto"/>
        <w:bottom w:val="none" w:sz="0" w:space="0" w:color="auto"/>
        <w:right w:val="none" w:sz="0" w:space="0" w:color="auto"/>
      </w:divBdr>
    </w:div>
    <w:div w:id="16844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7EFA9FD61AA4BBA7F43E0195C6269" ma:contentTypeVersion="18" ma:contentTypeDescription="Create a new document." ma:contentTypeScope="" ma:versionID="8a013eebfff8ef71a2baed292424617f">
  <xsd:schema xmlns:xsd="http://www.w3.org/2001/XMLSchema" xmlns:xs="http://www.w3.org/2001/XMLSchema" xmlns:p="http://schemas.microsoft.com/office/2006/metadata/properties" xmlns:ns2="f91e9210-d0ed-4979-b42b-17be6556d953" xmlns:ns3="913b3742-5661-451e-abb3-67411c58946a" targetNamespace="http://schemas.microsoft.com/office/2006/metadata/properties" ma:root="true" ma:fieldsID="d1c69e23370a0c0c847a8f8585ef4a16" ns2:_="" ns3:_="">
    <xsd:import namespace="f91e9210-d0ed-4979-b42b-17be6556d953"/>
    <xsd:import namespace="913b3742-5661-451e-abb3-67411c589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9210-d0ed-4979-b42b-17be6556d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fb3de1-69f5-4973-9c56-0991814bd7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b3742-5661-451e-abb3-67411c5894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73da7-1a9e-4abc-9af0-9ef6ea6e0e09}" ma:internalName="TaxCatchAll" ma:showField="CatchAllData" ma:web="913b3742-5661-451e-abb3-67411c589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134A9-DD7F-4186-A486-492E2F19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9210-d0ed-4979-b42b-17be6556d953"/>
    <ds:schemaRef ds:uri="913b3742-5661-451e-abb3-67411c589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C0D4D-BF11-4E70-9141-DA6F2E9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Giameos</dc:creator>
  <cp:keywords/>
  <dc:description/>
  <cp:lastModifiedBy>Monique Birdsall</cp:lastModifiedBy>
  <cp:revision>26</cp:revision>
  <dcterms:created xsi:type="dcterms:W3CDTF">2024-09-03T15:51:00Z</dcterms:created>
  <dcterms:modified xsi:type="dcterms:W3CDTF">2024-09-04T23:51:00Z</dcterms:modified>
</cp:coreProperties>
</file>